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53D4A" w14:textId="77777777" w:rsidR="00064286" w:rsidRDefault="007D697F" w:rsidP="007D697F">
      <w:pPr>
        <w:jc w:val="center"/>
      </w:pPr>
      <w:r>
        <w:rPr>
          <w:noProof/>
        </w:rPr>
        <w:drawing>
          <wp:inline distT="0" distB="0" distL="0" distR="0" wp14:anchorId="43FAD25C" wp14:editId="0864F38F">
            <wp:extent cx="6416162" cy="1262150"/>
            <wp:effectExtent l="0" t="0" r="1016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162" cy="12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D1CCC" w14:textId="77777777" w:rsidR="007D697F" w:rsidRDefault="007D697F" w:rsidP="007D697F"/>
    <w:p w14:paraId="62967A93" w14:textId="77777777" w:rsidR="007D697F" w:rsidRPr="007D697F" w:rsidRDefault="007D697F" w:rsidP="007D697F">
      <w:pPr>
        <w:jc w:val="center"/>
        <w:outlineLvl w:val="0"/>
        <w:rPr>
          <w:rFonts w:ascii="Arial" w:eastAsia="Times New Roman" w:hAnsi="Arial" w:cs="Arial"/>
          <w:b/>
          <w:bCs/>
          <w:color w:val="993333"/>
          <w:kern w:val="36"/>
          <w:sz w:val="32"/>
          <w:szCs w:val="32"/>
        </w:rPr>
      </w:pPr>
      <w:r w:rsidRPr="007D697F">
        <w:rPr>
          <w:rFonts w:ascii="Arial" w:eastAsia="Times New Roman" w:hAnsi="Arial" w:cs="Arial"/>
          <w:b/>
          <w:bCs/>
          <w:color w:val="993333"/>
          <w:kern w:val="36"/>
          <w:sz w:val="32"/>
          <w:szCs w:val="32"/>
        </w:rPr>
        <w:t>Regio Decreto 30 ottobre 1933, n. 1611</w:t>
      </w:r>
    </w:p>
    <w:p w14:paraId="41E949A5" w14:textId="77777777" w:rsidR="007D697F" w:rsidRPr="007D697F" w:rsidRDefault="007D697F" w:rsidP="007D697F">
      <w:pPr>
        <w:rPr>
          <w:rFonts w:ascii="Arial" w:eastAsia="Times New Roman" w:hAnsi="Arial" w:cs="Arial"/>
          <w:color w:val="000000"/>
          <w:sz w:val="19"/>
          <w:szCs w:val="19"/>
        </w:rPr>
      </w:pPr>
    </w:p>
    <w:p w14:paraId="2DBB1C87" w14:textId="77777777" w:rsidR="007D697F" w:rsidRPr="007D697F" w:rsidRDefault="007D697F" w:rsidP="007D697F">
      <w:pPr>
        <w:spacing w:before="48" w:after="48"/>
        <w:rPr>
          <w:rFonts w:ascii="Arial" w:hAnsi="Arial" w:cs="Arial"/>
          <w:i/>
          <w:color w:val="000000"/>
        </w:rPr>
      </w:pPr>
      <w:proofErr w:type="gramStart"/>
      <w:r w:rsidRPr="007D697F">
        <w:rPr>
          <w:rFonts w:ascii="Arial" w:hAnsi="Arial" w:cs="Arial"/>
          <w:i/>
          <w:color w:val="000000"/>
        </w:rPr>
        <w:t>Approvazione del T.U. delle leggi e delle norme giuridiche sulla rappresentanza e difesa in giudizio dello Stato e sull'ordinamento dell'Avv</w:t>
      </w:r>
      <w:proofErr w:type="gramEnd"/>
      <w:r w:rsidRPr="007D697F">
        <w:rPr>
          <w:rFonts w:ascii="Arial" w:hAnsi="Arial" w:cs="Arial"/>
          <w:i/>
          <w:color w:val="000000"/>
        </w:rPr>
        <w:t xml:space="preserve">ocatura dello Stato </w:t>
      </w:r>
    </w:p>
    <w:p w14:paraId="7E423BDC" w14:textId="77777777" w:rsidR="007D697F" w:rsidRDefault="007D697F" w:rsidP="007D697F">
      <w:pPr>
        <w:rPr>
          <w:rFonts w:ascii="Arial" w:eastAsia="Times New Roman" w:hAnsi="Arial" w:cs="Arial"/>
          <w:b/>
          <w:bCs/>
          <w:color w:val="000000"/>
        </w:rPr>
      </w:pPr>
    </w:p>
    <w:p w14:paraId="4DFF5870" w14:textId="77777777" w:rsidR="007D697F" w:rsidRPr="007D697F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D697F">
        <w:rPr>
          <w:rFonts w:ascii="Arial" w:eastAsia="Times New Roman" w:hAnsi="Arial" w:cs="Arial"/>
          <w:b/>
          <w:bCs/>
          <w:color w:val="000000"/>
          <w:sz w:val="28"/>
          <w:szCs w:val="28"/>
        </w:rPr>
        <w:t>TITOLO I</w:t>
      </w:r>
    </w:p>
    <w:p w14:paraId="57F0A1B8" w14:textId="77777777" w:rsidR="007D697F" w:rsidRPr="007D697F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D697F">
        <w:rPr>
          <w:rFonts w:ascii="Arial" w:eastAsia="Times New Roman" w:hAnsi="Arial" w:cs="Arial"/>
          <w:b/>
          <w:bCs/>
          <w:color w:val="000000"/>
          <w:sz w:val="28"/>
          <w:szCs w:val="28"/>
        </w:rPr>
        <w:t>Rappresentanza, citazione in giudizio e foro dello Stato</w:t>
      </w:r>
    </w:p>
    <w:p w14:paraId="4578F24D" w14:textId="77777777" w:rsidR="007D697F" w:rsidRPr="007D697F" w:rsidRDefault="007D697F" w:rsidP="007D697F">
      <w:pPr>
        <w:spacing w:before="48" w:after="240"/>
        <w:rPr>
          <w:rFonts w:ascii="Arial" w:hAnsi="Arial" w:cs="Arial"/>
          <w:color w:val="000000"/>
        </w:rPr>
      </w:pPr>
      <w:r w:rsidRPr="007D697F">
        <w:rPr>
          <w:rFonts w:ascii="Arial" w:hAnsi="Arial" w:cs="Arial"/>
          <w:color w:val="000000"/>
          <w:sz w:val="28"/>
          <w:szCs w:val="28"/>
        </w:rPr>
        <w:br/>
      </w:r>
      <w:r w:rsidRPr="007D697F">
        <w:rPr>
          <w:rFonts w:ascii="Arial" w:hAnsi="Arial" w:cs="Arial"/>
          <w:color w:val="000000"/>
          <w:sz w:val="28"/>
          <w:szCs w:val="28"/>
        </w:rPr>
        <w:br/>
      </w:r>
      <w:r w:rsidRPr="007D697F">
        <w:rPr>
          <w:rFonts w:ascii="Arial" w:hAnsi="Arial" w:cs="Arial"/>
          <w:b/>
          <w:bCs/>
          <w:color w:val="000000"/>
        </w:rPr>
        <w:t>Capo I - Rappresentanza e difesa in giudizio dello Stato (3)</w:t>
      </w:r>
      <w:r w:rsidRPr="007D697F">
        <w:rPr>
          <w:rFonts w:ascii="Arial" w:hAnsi="Arial" w:cs="Arial"/>
          <w:color w:val="000000"/>
        </w:rPr>
        <w:br/>
      </w:r>
      <w:bookmarkStart w:id="0" w:name="art1"/>
      <w:bookmarkEnd w:id="0"/>
    </w:p>
    <w:p w14:paraId="4BF44160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1</w:t>
      </w:r>
    </w:p>
    <w:p w14:paraId="747CCBB3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La rappresentanza, il patrocinio e l'assistenza in giudizio delle Amministrazioni dello Stato, anche se organizzate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ad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ordinamento autonomo, spettano alla Avvocatura dello Stato. Gli avvocati dello Stato, esercitano le loro funzioni innanzi a tutte le giurisdizioni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ed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in qualunque sede e non hanno bisogno di mandato, neppure nei casi nei quali le norme ordinarie richiedono il mandato speciale, bastando che consti della loro qualità.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1" w:name="art2"/>
      <w:bookmarkEnd w:id="1"/>
    </w:p>
    <w:p w14:paraId="729F8B55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2</w:t>
      </w:r>
    </w:p>
    <w:p w14:paraId="6DB13F13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Per la rappresentanza delle Amministrazioni dello Stato nei giudizi che si svolgono fuori della sede degli uffici dell'Avvocatura dello Stato, questa ha facoltà di delegare funzionari dell'Amministrazione interessata, esclusi i magistrati dell'Ordine giudiziario,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ed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in casi eccezionali anche procuratori legali, esercenti nel circondario dove si svolge il giudizio. L'Avvocatura dello Stato ha facoltà di conferire -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in relazione a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particolari, accertate esigenze - la delega di cui al primo comma del presente articolo a procuratori legali per quanto concerne lo svolgimento di incombenze di rappresentanza nei giudizi, civili e amministrativi che si svolgono nelle sedi degli uffici dell'Avvocatura generale dello Stato o delle avvocature distrettuali, relativi a materie riguardanti enti soppressi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(3/a)</w:t>
      </w:r>
      <w:r w:rsidRPr="00816E49">
        <w:rPr>
          <w:rFonts w:ascii="Arial" w:hAnsi="Arial" w:cs="Arial"/>
          <w:color w:val="000000"/>
          <w:sz w:val="28"/>
          <w:szCs w:val="28"/>
        </w:rPr>
        <w:t>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2" w:name="art3"/>
      <w:bookmarkEnd w:id="2"/>
    </w:p>
    <w:p w14:paraId="43CDBE34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3</w:t>
      </w:r>
    </w:p>
    <w:p w14:paraId="4706A5EF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Innanzi alle Preture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ed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agli Uffici di conciliazione le Amministrazioni dello Stato possono, intesa l'Avvocatura dello Stato, essere rappresentate dai </w:t>
      </w:r>
      <w:r w:rsidRPr="00816E49">
        <w:rPr>
          <w:rFonts w:ascii="Arial" w:hAnsi="Arial" w:cs="Arial"/>
          <w:color w:val="000000"/>
          <w:sz w:val="28"/>
          <w:szCs w:val="28"/>
        </w:rPr>
        <w:lastRenderedPageBreak/>
        <w:t>propri funzionari che siano per tali riconosciuti.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3" w:name="art4"/>
      <w:bookmarkEnd w:id="3"/>
    </w:p>
    <w:p w14:paraId="6518A1E1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4</w:t>
      </w:r>
    </w:p>
    <w:p w14:paraId="7D072FB1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Nelle cause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relative al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contratto di trasporto innanzi alle Preture e agli Uffici di conciliazione l'Amministrazione delle Ferrovie dello Stato è rappresentata e difesa dai propri agenti i quali siano muniti di mandato generale o speciale per ciascun giudizio.</w:t>
      </w:r>
      <w:r w:rsidRPr="00816E49">
        <w:rPr>
          <w:rFonts w:ascii="Arial" w:hAnsi="Arial" w:cs="Arial"/>
          <w:color w:val="000000"/>
          <w:sz w:val="28"/>
          <w:szCs w:val="28"/>
        </w:rPr>
        <w:br/>
        <w:t xml:space="preserve">Il Direttore generale delle ferrovie dello Stato ha facoltà di richiedere per la trattazione di dette cause l'Avvocatura dello Stato, la quale potrà delegare, per la rappresentanza, i capi stazione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od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altri agenti amministrativi ferroviari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(4)</w:t>
      </w:r>
      <w:r w:rsidRPr="00816E49">
        <w:rPr>
          <w:rFonts w:ascii="Arial" w:hAnsi="Arial" w:cs="Arial"/>
          <w:color w:val="000000"/>
          <w:sz w:val="28"/>
          <w:szCs w:val="28"/>
        </w:rPr>
        <w:t>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4" w:name="art5"/>
      <w:bookmarkEnd w:id="4"/>
    </w:p>
    <w:p w14:paraId="17BD9C47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5</w:t>
      </w:r>
    </w:p>
    <w:p w14:paraId="602116C0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Nessuna Amministrazione dello Stato può richiedere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 xml:space="preserve">la 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>assistenza di avvocati del libero foro se non per ragioni assolutamente eccezionali, inteso il parere dell'Avvocato generale dello Stato e secondo norme che saranno stabilite dal Consiglio dei ministri.</w:t>
      </w:r>
      <w:r w:rsidRPr="00816E49">
        <w:rPr>
          <w:rFonts w:ascii="Arial" w:hAnsi="Arial" w:cs="Arial"/>
          <w:color w:val="000000"/>
          <w:sz w:val="28"/>
          <w:szCs w:val="28"/>
        </w:rPr>
        <w:br/>
        <w:t xml:space="preserve">L'incarico nei singoli casi dovrà essere conferito con decreto del Capo del Governo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di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concerto col Ministro dal quale dipende l'Amministrazione interessata e col Ministro delle finanze.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Capo II - Foro dello Stato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5" w:name="art6"/>
      <w:bookmarkEnd w:id="5"/>
    </w:p>
    <w:p w14:paraId="70729E1C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6</w:t>
      </w:r>
    </w:p>
    <w:p w14:paraId="78289A9E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Salva la disposizione dell'articolo seguente, la competenza per cause nelle quali è parte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 xml:space="preserve">una 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>Amministrazione dello Stato, anche nel caso di più convenuti ai sensi dell'art. 98 del codice di procedura civile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(5)</w:t>
      </w:r>
      <w:r w:rsidRPr="00816E49">
        <w:rPr>
          <w:rFonts w:ascii="Arial" w:hAnsi="Arial" w:cs="Arial"/>
          <w:color w:val="000000"/>
          <w:sz w:val="28"/>
          <w:szCs w:val="28"/>
        </w:rPr>
        <w:t xml:space="preserve">, spetta al Tribunale o alla Corte di appello del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luogo dove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ha sede l'ufficio dell'Avvocatura dello Stato nel cui distretto si trova il Tribunale o la Corte d'appello che sarebbe competente secondo le norme ordinarie. Quando un'Amministrazione dello Stato è chiamata in garanzia, la cognizione così della causa principale come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 xml:space="preserve">della 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>azione in garanzia è devoluta, sulla semplice richiesta dell'Amministrazione, con ordinanza del Presidente, all'Autorità giudiziaria competente a norma del comma precedente.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6" w:name="art7"/>
      <w:bookmarkEnd w:id="6"/>
    </w:p>
    <w:p w14:paraId="48C0A8BE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7</w:t>
      </w:r>
    </w:p>
    <w:p w14:paraId="221658EB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Le norme ordinarie di competenza rimangono ferme, anche quando sia in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causa un'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>Amministrazione dello Stato, per i giudizi innanzi ai Pretori ed ai Conciliatori, nonché per i giudizi relativi ai procedimenti esecutivi e fallimentari e a quelli di cui agli artt. 873 del codice di commercio e 94 del codice di procedura civile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(6)</w:t>
      </w:r>
      <w:r w:rsidRPr="00816E49">
        <w:rPr>
          <w:rFonts w:ascii="Arial" w:hAnsi="Arial" w:cs="Arial"/>
          <w:color w:val="000000"/>
          <w:sz w:val="28"/>
          <w:szCs w:val="28"/>
        </w:rPr>
        <w:t xml:space="preserve">. Rimangono ferme inoltre nei casi di volontario intervento in causa di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 xml:space="preserve">una 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>Amministrazione dello Stato e nei giudizi di opposizione di terzo.</w:t>
      </w:r>
      <w:r w:rsidRPr="00816E49">
        <w:rPr>
          <w:rFonts w:ascii="Arial" w:hAnsi="Arial" w:cs="Arial"/>
          <w:color w:val="000000"/>
          <w:sz w:val="28"/>
          <w:szCs w:val="28"/>
        </w:rPr>
        <w:br/>
        <w:t xml:space="preserve">L'appello dalle sentenze dei Pretori e dalle sentenze dei Tribunali pronunciate nei giudizi suddetti, è proposto rispettivamente innanzi al Tribunale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ed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alla Corte d'appello del luogo dove ha sede l'Avvocatura dello Stato nel cui distretto le sentenze furono pronunciate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(6/</w:t>
      </w:r>
      <w:proofErr w:type="spellStart"/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cost</w:t>
      </w:r>
      <w:proofErr w:type="spellEnd"/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)</w:t>
      </w:r>
      <w:r w:rsidRPr="00816E49">
        <w:rPr>
          <w:rFonts w:ascii="Arial" w:hAnsi="Arial" w:cs="Arial"/>
          <w:color w:val="000000"/>
          <w:sz w:val="28"/>
          <w:szCs w:val="28"/>
        </w:rPr>
        <w:t>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7" w:name="art8"/>
      <w:bookmarkEnd w:id="7"/>
    </w:p>
    <w:p w14:paraId="4E5DE552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8</w:t>
      </w:r>
    </w:p>
    <w:p w14:paraId="03334C3D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La decisione delle controversie giudiziali riguardanti le tasse e </w:t>
      </w:r>
      <w:proofErr w:type="spellStart"/>
      <w:r w:rsidRPr="00816E49">
        <w:rPr>
          <w:rFonts w:ascii="Arial" w:hAnsi="Arial" w:cs="Arial"/>
          <w:color w:val="000000"/>
          <w:sz w:val="28"/>
          <w:szCs w:val="28"/>
        </w:rPr>
        <w:t>sovratasse</w:t>
      </w:r>
      <w:proofErr w:type="spellEnd"/>
      <w:r w:rsidRPr="00816E49">
        <w:rPr>
          <w:rFonts w:ascii="Arial" w:hAnsi="Arial" w:cs="Arial"/>
          <w:color w:val="000000"/>
          <w:sz w:val="28"/>
          <w:szCs w:val="28"/>
        </w:rPr>
        <w:t xml:space="preserve">, anche se insorte in sede di esecuzione, spetta in prima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istanza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, quando sia parte l'Amministrazione dello Stato, al Tribunale civile del luogo dove risiede l'ufficio dell'Avvocatura dello Stato, nel cui distretto </w:t>
      </w:r>
      <w:proofErr w:type="spellStart"/>
      <w:r w:rsidRPr="00816E49">
        <w:rPr>
          <w:rFonts w:ascii="Arial" w:hAnsi="Arial" w:cs="Arial"/>
          <w:color w:val="000000"/>
          <w:sz w:val="28"/>
          <w:szCs w:val="28"/>
        </w:rPr>
        <w:t>trovasi</w:t>
      </w:r>
      <w:proofErr w:type="spellEnd"/>
      <w:r w:rsidRPr="00816E49">
        <w:rPr>
          <w:rFonts w:ascii="Arial" w:hAnsi="Arial" w:cs="Arial"/>
          <w:color w:val="000000"/>
          <w:sz w:val="28"/>
          <w:szCs w:val="28"/>
        </w:rPr>
        <w:t xml:space="preserve"> l'ufficio che ha liquidato la tassa o la </w:t>
      </w:r>
      <w:proofErr w:type="spellStart"/>
      <w:r w:rsidRPr="00816E49">
        <w:rPr>
          <w:rFonts w:ascii="Arial" w:hAnsi="Arial" w:cs="Arial"/>
          <w:color w:val="000000"/>
          <w:sz w:val="28"/>
          <w:szCs w:val="28"/>
        </w:rPr>
        <w:t>sovratassa</w:t>
      </w:r>
      <w:proofErr w:type="spellEnd"/>
      <w:r w:rsidRPr="00816E49">
        <w:rPr>
          <w:rFonts w:ascii="Arial" w:hAnsi="Arial" w:cs="Arial"/>
          <w:color w:val="000000"/>
          <w:sz w:val="28"/>
          <w:szCs w:val="28"/>
        </w:rPr>
        <w:t xml:space="preserve"> controversa.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8" w:name="art9"/>
      <w:bookmarkEnd w:id="8"/>
    </w:p>
    <w:p w14:paraId="620084A5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9</w:t>
      </w:r>
    </w:p>
    <w:p w14:paraId="48ED8888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 xml:space="preserve">La 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>incompetenza in rapporto agli articoli 6, primo comma, 7, secondo comma, e 8, può essere eccepita in qualunque stato e grado della causa. L'Autorità giudiziaria deve pronunciarla anche di Ufficio.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9" w:name="art10"/>
      <w:bookmarkEnd w:id="9"/>
    </w:p>
    <w:p w14:paraId="5B9BAB09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10</w:t>
      </w:r>
    </w:p>
    <w:p w14:paraId="7DFD6C1B" w14:textId="77777777" w:rsidR="007D697F" w:rsidRPr="00816E49" w:rsidRDefault="007D697F" w:rsidP="007D697F">
      <w:pPr>
        <w:spacing w:before="48" w:after="240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Nei giudizi nei quali è parte un'Amministrazione dello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Stato la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Corte di cassazione, nel disporre il rinvio a senso del primo capoverso dell'art. 544 del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cod.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di </w:t>
      </w:r>
      <w:proofErr w:type="spellStart"/>
      <w:r w:rsidRPr="00816E49">
        <w:rPr>
          <w:rFonts w:ascii="Arial" w:hAnsi="Arial" w:cs="Arial"/>
          <w:color w:val="000000"/>
          <w:sz w:val="28"/>
          <w:szCs w:val="28"/>
        </w:rPr>
        <w:t>proc</w:t>
      </w:r>
      <w:proofErr w:type="spellEnd"/>
      <w:r w:rsidRPr="00816E49">
        <w:rPr>
          <w:rFonts w:ascii="Arial" w:hAnsi="Arial" w:cs="Arial"/>
          <w:color w:val="000000"/>
          <w:sz w:val="28"/>
          <w:szCs w:val="28"/>
        </w:rPr>
        <w:t>. civile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(7)</w:t>
      </w:r>
      <w:r w:rsidRPr="00816E49">
        <w:rPr>
          <w:rFonts w:ascii="Arial" w:hAnsi="Arial" w:cs="Arial"/>
          <w:color w:val="000000"/>
          <w:sz w:val="28"/>
          <w:szCs w:val="28"/>
        </w:rPr>
        <w:t>, rimanda la causa ad altra Autorità giudiziaria con sede in luogo ove ha pure sede un ufficio dell'Avvocatura dello Stato.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 xml:space="preserve">Capo III - Citazione in giudizio delle Amministrazioni dello Stato </w:t>
      </w:r>
      <w:proofErr w:type="gramStart"/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ed</w:t>
      </w:r>
      <w:proofErr w:type="gramEnd"/>
      <w:r w:rsidRPr="00816E49">
        <w:rPr>
          <w:rFonts w:ascii="Arial" w:hAnsi="Arial" w:cs="Arial"/>
          <w:b/>
          <w:bCs/>
          <w:color w:val="000000"/>
          <w:sz w:val="28"/>
          <w:szCs w:val="28"/>
        </w:rPr>
        <w:t xml:space="preserve"> altre notificazioni alle stesse</w:t>
      </w:r>
      <w:r w:rsidRPr="00816E49">
        <w:rPr>
          <w:rFonts w:ascii="Arial" w:hAnsi="Arial" w:cs="Arial"/>
          <w:color w:val="000000"/>
          <w:sz w:val="28"/>
          <w:szCs w:val="28"/>
        </w:rPr>
        <w:br/>
      </w:r>
      <w:bookmarkStart w:id="10" w:name="art11"/>
      <w:bookmarkEnd w:id="10"/>
    </w:p>
    <w:p w14:paraId="7E2940F7" w14:textId="77777777" w:rsidR="007D697F" w:rsidRPr="00816E49" w:rsidRDefault="007D697F" w:rsidP="007D697F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816E49">
        <w:rPr>
          <w:rFonts w:ascii="Arial" w:eastAsia="Times New Roman" w:hAnsi="Arial" w:cs="Arial"/>
          <w:color w:val="000000"/>
          <w:sz w:val="28"/>
          <w:szCs w:val="28"/>
        </w:rPr>
        <w:t>Art. 11</w:t>
      </w:r>
    </w:p>
    <w:p w14:paraId="0FAE38FF" w14:textId="77777777" w:rsidR="007D697F" w:rsidRPr="00816E49" w:rsidRDefault="007D697F" w:rsidP="007D697F">
      <w:pPr>
        <w:spacing w:before="48" w:after="48"/>
        <w:rPr>
          <w:rFonts w:ascii="Arial" w:hAnsi="Arial" w:cs="Arial"/>
          <w:color w:val="000000"/>
          <w:sz w:val="28"/>
          <w:szCs w:val="28"/>
        </w:rPr>
      </w:pPr>
      <w:r w:rsidRPr="00816E49">
        <w:rPr>
          <w:rFonts w:ascii="Arial" w:hAnsi="Arial" w:cs="Arial"/>
          <w:color w:val="000000"/>
          <w:sz w:val="28"/>
          <w:szCs w:val="28"/>
        </w:rPr>
        <w:t xml:space="preserve">Tutte le citazioni, i ricorsi e qualsiasi altro atto di opposizione giudiziale, </w:t>
      </w:r>
      <w:bookmarkStart w:id="11" w:name="_GoBack"/>
      <w:bookmarkEnd w:id="11"/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nonché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le opposizioni ad ingiunzione e gli atti istitutivi di giudizi che si svolgono innanzi alle giurisdizioni amministrative o speciali, od innanzi agli arbitri, devono essere notificati alle Amministrazioni dello Stato presso l'ufficio dell'Avvocatura dello Stato nel cui distretto ha sede l'Autorità giudiziaria innanzi alla quale è portata la causa, nella persona del Ministro competente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(8)</w:t>
      </w:r>
      <w:r w:rsidRPr="00816E49">
        <w:rPr>
          <w:rFonts w:ascii="Arial" w:hAnsi="Arial" w:cs="Arial"/>
          <w:color w:val="000000"/>
          <w:sz w:val="28"/>
          <w:szCs w:val="28"/>
        </w:rPr>
        <w:t>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(8/a)</w:t>
      </w:r>
      <w:r w:rsidRPr="00816E49">
        <w:rPr>
          <w:rFonts w:ascii="Arial" w:hAnsi="Arial" w:cs="Arial"/>
          <w:color w:val="000000"/>
          <w:sz w:val="28"/>
          <w:szCs w:val="28"/>
        </w:rPr>
        <w:t xml:space="preserve">. Ogni altro atto giudiziale e le sentenze devono essere notificati presso l'ufficio dell'Avvocatura dello Stato nel cui distretto ha sede l'Autorità giudiziaria presso cui pende la causa o che ha pronunciato la sentenza. Le notificazioni di cui </w:t>
      </w:r>
      <w:proofErr w:type="gramStart"/>
      <w:r w:rsidRPr="00816E49">
        <w:rPr>
          <w:rFonts w:ascii="Arial" w:hAnsi="Arial" w:cs="Arial"/>
          <w:color w:val="000000"/>
          <w:sz w:val="28"/>
          <w:szCs w:val="28"/>
        </w:rPr>
        <w:t>ai</w:t>
      </w:r>
      <w:proofErr w:type="gramEnd"/>
      <w:r w:rsidRPr="00816E49">
        <w:rPr>
          <w:rFonts w:ascii="Arial" w:hAnsi="Arial" w:cs="Arial"/>
          <w:color w:val="000000"/>
          <w:sz w:val="28"/>
          <w:szCs w:val="28"/>
        </w:rPr>
        <w:t xml:space="preserve"> comma precedenti devono essere fatte presso la competente Avvocatura dello Stato a pena di nullità da pronunciarsi anche d'ufficio </w:t>
      </w:r>
      <w:r w:rsidRPr="00816E49">
        <w:rPr>
          <w:rFonts w:ascii="Arial" w:hAnsi="Arial" w:cs="Arial"/>
          <w:b/>
          <w:bCs/>
          <w:color w:val="000000"/>
          <w:sz w:val="28"/>
          <w:szCs w:val="28"/>
        </w:rPr>
        <w:t>(8/b)</w:t>
      </w:r>
      <w:r w:rsidRPr="00816E49">
        <w:rPr>
          <w:rFonts w:ascii="Arial" w:hAnsi="Arial" w:cs="Arial"/>
          <w:color w:val="000000"/>
          <w:sz w:val="28"/>
          <w:szCs w:val="28"/>
        </w:rPr>
        <w:t>.</w:t>
      </w:r>
    </w:p>
    <w:p w14:paraId="29CD4C74" w14:textId="77777777" w:rsidR="007D697F" w:rsidRPr="00816E49" w:rsidRDefault="007D697F" w:rsidP="007D697F">
      <w:pPr>
        <w:rPr>
          <w:sz w:val="28"/>
          <w:szCs w:val="28"/>
        </w:rPr>
      </w:pPr>
    </w:p>
    <w:sectPr w:rsidR="007D697F" w:rsidRPr="00816E49" w:rsidSect="001B5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7F"/>
    <w:rsid w:val="00064286"/>
    <w:rsid w:val="001B5BBD"/>
    <w:rsid w:val="007D697F"/>
    <w:rsid w:val="0081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550C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697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697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D697F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7D697F"/>
    <w:rPr>
      <w:rFonts w:ascii="Times" w:hAnsi="Times"/>
      <w:b/>
      <w:bCs/>
      <w:kern w:val="36"/>
      <w:sz w:val="48"/>
      <w:szCs w:val="48"/>
    </w:rPr>
  </w:style>
  <w:style w:type="character" w:customStyle="1" w:styleId="printhtml">
    <w:name w:val="print_html"/>
    <w:basedOn w:val="Caratterepredefinitoparagrafo"/>
    <w:rsid w:val="007D697F"/>
  </w:style>
  <w:style w:type="paragraph" w:styleId="NormaleWeb">
    <w:name w:val="Normal (Web)"/>
    <w:basedOn w:val="Normale"/>
    <w:uiPriority w:val="99"/>
    <w:semiHidden/>
    <w:unhideWhenUsed/>
    <w:rsid w:val="007D69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7D697F"/>
    <w:rPr>
      <w:b/>
      <w:bCs/>
    </w:rPr>
  </w:style>
  <w:style w:type="character" w:customStyle="1" w:styleId="apple-converted-space">
    <w:name w:val="apple-converted-space"/>
    <w:basedOn w:val="Caratterepredefinitoparagrafo"/>
    <w:rsid w:val="007D69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697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697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D697F"/>
    <w:rPr>
      <w:rFonts w:ascii="Lucida Grande" w:hAnsi="Lucida Grande" w:cs="Lucida Grande"/>
      <w:sz w:val="18"/>
      <w:szCs w:val="18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7D697F"/>
    <w:rPr>
      <w:rFonts w:ascii="Times" w:hAnsi="Times"/>
      <w:b/>
      <w:bCs/>
      <w:kern w:val="36"/>
      <w:sz w:val="48"/>
      <w:szCs w:val="48"/>
    </w:rPr>
  </w:style>
  <w:style w:type="character" w:customStyle="1" w:styleId="printhtml">
    <w:name w:val="print_html"/>
    <w:basedOn w:val="Caratterepredefinitoparagrafo"/>
    <w:rsid w:val="007D697F"/>
  </w:style>
  <w:style w:type="paragraph" w:styleId="NormaleWeb">
    <w:name w:val="Normal (Web)"/>
    <w:basedOn w:val="Normale"/>
    <w:uiPriority w:val="99"/>
    <w:semiHidden/>
    <w:unhideWhenUsed/>
    <w:rsid w:val="007D697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7D697F"/>
    <w:rPr>
      <w:b/>
      <w:bCs/>
    </w:rPr>
  </w:style>
  <w:style w:type="character" w:customStyle="1" w:styleId="apple-converted-space">
    <w:name w:val="apple-converted-space"/>
    <w:basedOn w:val="Caratterepredefinitoparagrafo"/>
    <w:rsid w:val="007D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0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9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7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919</Words>
  <Characters>5244</Characters>
  <Application>Microsoft Macintosh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2</cp:revision>
  <dcterms:created xsi:type="dcterms:W3CDTF">2016-05-21T13:19:00Z</dcterms:created>
  <dcterms:modified xsi:type="dcterms:W3CDTF">2016-05-25T07:48:00Z</dcterms:modified>
</cp:coreProperties>
</file>